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B648" w14:textId="77777777" w:rsidR="00876DB2" w:rsidRDefault="00A76CA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SWOT VOCABULARY SHEET</w:t>
      </w:r>
    </w:p>
    <w:p w14:paraId="77319855" w14:textId="77777777" w:rsidR="00876DB2" w:rsidRDefault="00876DB2">
      <w:pPr>
        <w:rPr>
          <w:sz w:val="24"/>
          <w:szCs w:val="24"/>
        </w:rPr>
      </w:pPr>
    </w:p>
    <w:p w14:paraId="44ADED37" w14:textId="77777777" w:rsidR="00876DB2" w:rsidRDefault="00A76CA4">
      <w:pPr>
        <w:rPr>
          <w:i/>
          <w:sz w:val="24"/>
          <w:szCs w:val="24"/>
        </w:rPr>
      </w:pPr>
      <w:r>
        <w:rPr>
          <w:i/>
          <w:sz w:val="24"/>
          <w:szCs w:val="24"/>
        </w:rPr>
        <w:t>Use this organizer to record the meaning of these SWOT specific words as we go through the lesson.</w:t>
      </w:r>
    </w:p>
    <w:p w14:paraId="5F722607" w14:textId="77777777" w:rsidR="00876DB2" w:rsidRDefault="00876DB2">
      <w:pPr>
        <w:rPr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5670"/>
      </w:tblGrid>
      <w:tr w:rsidR="00876DB2" w14:paraId="23B52281" w14:textId="77777777">
        <w:tc>
          <w:tcPr>
            <w:tcW w:w="29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CC96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SWOT-RELATED WORD</w:t>
            </w:r>
          </w:p>
        </w:tc>
        <w:tc>
          <w:tcPr>
            <w:tcW w:w="5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5B81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876DB2" w14:paraId="3F1256A9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98301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SWOT (acronym)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BCE4" w14:textId="77777777" w:rsidR="00876DB2" w:rsidRDefault="00A76CA4">
            <w:pPr>
              <w:spacing w:line="240" w:lineRule="auto"/>
            </w:pPr>
            <w:r>
              <w:t>The letters stand for:  Strength, Weakness, Opportunity, and Threat.</w:t>
            </w:r>
          </w:p>
        </w:tc>
      </w:tr>
      <w:tr w:rsidR="00876DB2" w14:paraId="69587729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7773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SWOT Analysis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3963" w14:textId="77777777" w:rsidR="00876DB2" w:rsidRDefault="00A76CA4">
            <w:pPr>
              <w:spacing w:line="240" w:lineRule="auto"/>
            </w:pPr>
            <w:r>
              <w:t>This is a planning method for exploring the four major aspects of a business venture, i.e. the Strengths, Weaknesses, Opportunities and Threats. A SWOT analysis can help explore the critical aspects of an organization’s products, projects and even its repu</w:t>
            </w:r>
            <w:r>
              <w:t>tation and goodwill. It is extremely popular for its simplicity. Project management practices make extensive use of SWOT analysis during planning and monitoring stages.</w:t>
            </w:r>
          </w:p>
        </w:tc>
      </w:tr>
      <w:tr w:rsidR="00876DB2" w14:paraId="597AE54D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44D4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Strength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1FD5" w14:textId="77777777" w:rsidR="00876DB2" w:rsidRDefault="00A76CA4">
            <w:pPr>
              <w:spacing w:line="240" w:lineRule="auto"/>
            </w:pPr>
            <w:r>
              <w:t>Strengths refer to those things that a company does well.  In particular, str</w:t>
            </w:r>
            <w:r>
              <w:t>engths refer to sources of competitive advantage which are positive attributes that set one company apart from its competitors.  This might include things like customer service, good products, a strong brand, and more.</w:t>
            </w:r>
          </w:p>
        </w:tc>
      </w:tr>
      <w:tr w:rsidR="00876DB2" w14:paraId="57AF22A3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B148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Weakness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D1017" w14:textId="77777777" w:rsidR="00876DB2" w:rsidRDefault="00A76CA4">
            <w:pPr>
              <w:spacing w:line="240" w:lineRule="auto"/>
            </w:pPr>
            <w:r>
              <w:t>Weakness refers to those ar</w:t>
            </w:r>
            <w:r>
              <w:t>eas where a company is lacking in comparison to its competitors.  These are often the opposite of strengths such as bad customer service, bad brand recognition, weak products, and more.</w:t>
            </w:r>
          </w:p>
        </w:tc>
      </w:tr>
      <w:tr w:rsidR="00876DB2" w14:paraId="79BF33E7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0B0C9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0C9A" w14:textId="77777777" w:rsidR="00876DB2" w:rsidRDefault="00A76CA4">
            <w:pPr>
              <w:spacing w:line="240" w:lineRule="auto"/>
            </w:pPr>
            <w:r>
              <w:t xml:space="preserve">Opportunity refers to external, or environmental factors </w:t>
            </w:r>
            <w:r>
              <w:t>that can help the business. For example, independent of a company’s strengths or weaknesses, there might be opportunities for growth in the industry. There might be a shift in consumer preferences, or a change in industry regulation, all of which could ben</w:t>
            </w:r>
            <w:r>
              <w:t>efit a company in the long run.</w:t>
            </w:r>
          </w:p>
        </w:tc>
      </w:tr>
      <w:tr w:rsidR="00876DB2" w14:paraId="2233F910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1B75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Threat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18C4" w14:textId="77777777" w:rsidR="00876DB2" w:rsidRDefault="00A76CA4">
            <w:pPr>
              <w:spacing w:line="240" w:lineRule="auto"/>
            </w:pPr>
            <w:r>
              <w:t>A threat is also an external factor, but one that may hurt a company’s prospects. The current economic downturn, for instance, might be a threat to companies that sell primarily luxury goods.</w:t>
            </w:r>
          </w:p>
        </w:tc>
      </w:tr>
      <w:tr w:rsidR="00876DB2" w14:paraId="26780E83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96D5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Internal Factors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2FD0" w14:textId="77777777" w:rsidR="00876DB2" w:rsidRDefault="00A76CA4">
            <w:pPr>
              <w:spacing w:line="240" w:lineRule="auto"/>
            </w:pPr>
            <w:r>
              <w:t>The St</w:t>
            </w:r>
            <w:r>
              <w:t xml:space="preserve">rengths and Weaknesses of the subject of analysis are always internal factors. In a business context they may include financials, talent, machinery, equipment, systems, and intellectual property.  Also, </w:t>
            </w:r>
            <w:r>
              <w:lastRenderedPageBreak/>
              <w:t xml:space="preserve">they can include intangibles as culture, leadership, </w:t>
            </w:r>
            <w:r>
              <w:t xml:space="preserve">and patents. </w:t>
            </w:r>
          </w:p>
        </w:tc>
      </w:tr>
      <w:tr w:rsidR="00876DB2" w14:paraId="2721D2D9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8A29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External Factors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E272E" w14:textId="77777777" w:rsidR="00876DB2" w:rsidRDefault="00A76CA4">
            <w:pPr>
              <w:spacing w:line="240" w:lineRule="auto"/>
            </w:pPr>
            <w:r>
              <w:t xml:space="preserve">Threats and Opportunities are always external factors. These might include market behavior, demographics, partners, suppliers, global economy, political and environmental policies, and more. </w:t>
            </w:r>
          </w:p>
        </w:tc>
      </w:tr>
      <w:tr w:rsidR="00876DB2" w14:paraId="4C3105EA" w14:textId="77777777"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9F14" w14:textId="77777777" w:rsidR="00876DB2" w:rsidRDefault="00A76CA4">
            <w:pPr>
              <w:spacing w:line="240" w:lineRule="auto"/>
              <w:rPr>
                <w:b/>
              </w:rPr>
            </w:pPr>
            <w:r>
              <w:rPr>
                <w:b/>
              </w:rPr>
              <w:t>Matrix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DB0B7" w14:textId="77777777" w:rsidR="00876DB2" w:rsidRDefault="00A76CA4">
            <w:pPr>
              <w:spacing w:line="240" w:lineRule="auto"/>
            </w:pPr>
            <w:r>
              <w:t>A matrix is a simple tool to display information typically in a grid.</w:t>
            </w:r>
          </w:p>
        </w:tc>
      </w:tr>
    </w:tbl>
    <w:p w14:paraId="0FBCCD02" w14:textId="77777777" w:rsidR="00876DB2" w:rsidRDefault="00876DB2"/>
    <w:p w14:paraId="591187E3" w14:textId="77777777" w:rsidR="00876DB2" w:rsidRDefault="00876DB2"/>
    <w:sectPr w:rsidR="00876D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B2"/>
    <w:rsid w:val="00876DB2"/>
    <w:rsid w:val="00A7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D2D47"/>
  <w15:docId w15:val="{6EABA171-6D90-3046-BD71-6F2973E8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Harney</cp:lastModifiedBy>
  <cp:revision>2</cp:revision>
  <dcterms:created xsi:type="dcterms:W3CDTF">2020-07-20T16:31:00Z</dcterms:created>
  <dcterms:modified xsi:type="dcterms:W3CDTF">2020-07-20T16:31:00Z</dcterms:modified>
</cp:coreProperties>
</file>